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>
          <w:b/>
          <w:b/>
          <w:bCs/>
          <w:sz w:val="40"/>
        </w:rPr>
      </w:pPr>
      <w:r>
        <w:rPr>
          <w:b/>
          <w:bCs/>
          <w:sz w:val="40"/>
        </w:rPr>
        <w:t>Partie I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>
          <w:b/>
          <w:b/>
          <w:bCs/>
          <w:sz w:val="40"/>
        </w:rPr>
      </w:pPr>
      <w:r>
        <w:rPr>
          <w:b/>
          <w:bCs/>
          <w:sz w:val="40"/>
        </w:rPr>
        <w:t>DIAGNOSTIC AGRO ECOLOGIQUE de base = commun à toutes les mesures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Policepardfaut"/>
          <w:b/>
          <w:sz w:val="28"/>
        </w:rPr>
        <w:t>M</w:t>
      </w:r>
      <w:r>
        <w:rPr>
          <w:rStyle w:val="Policepardfaut"/>
          <w:sz w:val="28"/>
        </w:rPr>
        <w:t xml:space="preserve">esures </w:t>
      </w:r>
      <w:r>
        <w:rPr>
          <w:rStyle w:val="Policepardfaut"/>
          <w:b/>
          <w:sz w:val="28"/>
        </w:rPr>
        <w:t>A</w:t>
      </w:r>
      <w:r>
        <w:rPr>
          <w:rStyle w:val="Policepardfaut"/>
          <w:sz w:val="28"/>
        </w:rPr>
        <w:t>gro-</w:t>
      </w:r>
      <w:r>
        <w:rPr>
          <w:rStyle w:val="Policepardfaut"/>
          <w:b/>
          <w:sz w:val="28"/>
        </w:rPr>
        <w:t>E</w:t>
      </w:r>
      <w:r>
        <w:rPr>
          <w:rStyle w:val="Policepardfaut"/>
          <w:sz w:val="28"/>
        </w:rPr>
        <w:t xml:space="preserve">nvironnementales et </w:t>
      </w:r>
      <w:r>
        <w:rPr>
          <w:rStyle w:val="Policepardfaut"/>
          <w:b/>
          <w:sz w:val="28"/>
        </w:rPr>
        <w:t>C</w:t>
      </w:r>
      <w:r>
        <w:rPr>
          <w:rStyle w:val="Policepardfaut"/>
          <w:sz w:val="28"/>
        </w:rPr>
        <w:t>limatiques</w:t>
      </w:r>
    </w:p>
    <w:p>
      <w:pPr>
        <w:pStyle w:val="Normal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596"/>
        <w:gridCol w:w="6032"/>
      </w:tblGrid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N° pacage du demandeur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Nom du PAEC (</w:t>
            </w:r>
            <w:r>
              <w:rPr>
                <w:rStyle w:val="Policepardfaut"/>
                <w:i/>
                <w:sz w:val="20"/>
              </w:rPr>
              <w:t>Projet Agro-Environnemental Climatique)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Opérateur PAEC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Site Natura 2000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Département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Date de la visite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Date de la remise du compte rendu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Rédacteurs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color w:val="FF0000"/>
              </w:rPr>
              <w:t>Nom du conseiller et de la structure</w:t>
            </w:r>
            <w:r>
              <w:rPr/>
              <w:t xml:space="preserve"> (volet écologique)</w:t>
            </w:r>
          </w:p>
          <w:p>
            <w:pPr>
              <w:pStyle w:val="Normal"/>
              <w:rPr/>
            </w:pPr>
            <w:r>
              <w:rPr/>
              <w:t>Nom du conseiller et de la structure (volet agricole et pastoral)</w:t>
            </w:r>
          </w:p>
        </w:tc>
      </w:tr>
      <w:tr>
        <w:trPr>
          <w:trHeight w:val="624" w:hRule="atLeast"/>
        </w:trPr>
        <w:tc>
          <w:tcPr>
            <w:tcW w:w="35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Signatures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  <w:insideH w:val="dashed" w:sz="4" w:space="0" w:color="000000"/>
              <w:insideV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itre2"/>
        <w:tabs>
          <w:tab w:val="clear" w:pos="709"/>
          <w:tab w:val="left" w:pos="0" w:leader="none"/>
        </w:tabs>
        <w:ind w:left="0" w:hanging="0"/>
        <w:rPr/>
      </w:pPr>
      <w:r>
        <w:rPr/>
      </w:r>
      <w:r>
        <w:br w:type="page"/>
      </w:r>
    </w:p>
    <w:p>
      <w:pPr>
        <w:pStyle w:val="Normal1"/>
        <w:suppressAutoHyphens w:val="false"/>
        <w:rPr/>
      </w:pPr>
      <w:r>
        <w:rPr/>
      </w:r>
    </w:p>
    <w:p>
      <w:pPr>
        <w:pStyle w:val="Titre2"/>
        <w:tabs>
          <w:tab w:val="clear" w:pos="709"/>
          <w:tab w:val="left" w:pos="0" w:leader="none"/>
        </w:tabs>
        <w:ind w:left="0" w:hanging="0"/>
        <w:rPr/>
      </w:pPr>
      <w:r>
        <w:rPr/>
        <w:t>Introduction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1"/>
        <w:rPr/>
      </w:pPr>
      <w:r>
        <w:rPr/>
        <w:tab/>
        <w:t>Le diagnostic agro-écologique détermine, en lien avec le PAEC, les enjeux agro-environnementaux présents sur l’exploitation et les mesures à mettre en place selon ces enjeux. Ce document doit être signé par le contractant.</w:t>
      </w:r>
    </w:p>
    <w:p>
      <w:pPr>
        <w:pStyle w:val="Normal1"/>
        <w:rPr/>
      </w:pPr>
      <w:r>
        <w:rPr/>
        <w:t>Il dresse un état des enjeux agricoles et des enjeux de biodiversité de l’exploitation au regard du PAEC. Il permet de choisir les mesures qui répondront au mieux aux enjeux précités.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rStyle w:val="Policepardfaut"/>
          <w:i/>
        </w:rPr>
        <w:t>Le DAE est élaboré conjointement par la structure agréée et l’opérateur environnemental du site concerné.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Policepardfaut"/>
          <w:szCs w:val="20"/>
          <w:u w:val="single"/>
        </w:rPr>
        <w:t>Identification du demandeur :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2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323"/>
        <w:gridCol w:w="4887"/>
      </w:tblGrid>
      <w:tr>
        <w:trPr>
          <w:trHeight w:val="454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Dénomination 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Nom, Prénom des associés (le cas échéant)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Date de création ou d’installation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Adresse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Téléphone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Cs w:val="20"/>
              </w:rPr>
            </w:pPr>
            <w:r>
              <w:rPr>
                <w:b/>
                <w:szCs w:val="20"/>
              </w:rPr>
              <w:t>E-mail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rPr>
          <w:rFonts w:ascii="Century Gothic" w:hAnsi="Century Gothic"/>
          <w:b/>
          <w:b/>
          <w:sz w:val="44"/>
          <w:szCs w:val="28"/>
        </w:rPr>
      </w:pPr>
      <w:r>
        <w:rPr>
          <w:rFonts w:ascii="Century Gothic" w:hAnsi="Century Gothic"/>
          <w:b/>
          <w:sz w:val="44"/>
          <w:szCs w:val="28"/>
        </w:rPr>
      </w:r>
    </w:p>
    <w:p>
      <w:pPr>
        <w:pStyle w:val="Normal"/>
        <w:rPr>
          <w:rFonts w:ascii="Century Gothic" w:hAnsi="Century Gothic"/>
          <w:b/>
          <w:b/>
          <w:sz w:val="44"/>
          <w:szCs w:val="28"/>
        </w:rPr>
      </w:pPr>
      <w:r>
        <w:rPr>
          <w:rFonts w:ascii="Century Gothic" w:hAnsi="Century Gothic"/>
          <w:b/>
          <w:sz w:val="44"/>
          <w:szCs w:val="28"/>
        </w:rPr>
      </w:r>
      <w:r>
        <w:br w:type="page"/>
      </w:r>
    </w:p>
    <w:p>
      <w:pPr>
        <w:pStyle w:val="Normal1"/>
        <w:suppressAutoHyphens w:val="false"/>
        <w:rPr>
          <w:rFonts w:ascii="Century Gothic" w:hAnsi="Century Gothic"/>
          <w:b/>
          <w:b/>
          <w:sz w:val="44"/>
          <w:szCs w:val="28"/>
        </w:rPr>
      </w:pPr>
      <w:r>
        <w:rPr>
          <w:rFonts w:ascii="Century Gothic" w:hAnsi="Century Gothic"/>
          <w:b/>
          <w:sz w:val="44"/>
          <w:szCs w:val="28"/>
        </w:rPr>
      </w:r>
    </w:p>
    <w:p>
      <w:pPr>
        <w:pStyle w:val="Titre2"/>
        <w:tabs>
          <w:tab w:val="clear" w:pos="709"/>
          <w:tab w:val="left" w:pos="0" w:leader="none"/>
        </w:tabs>
        <w:ind w:left="0" w:hanging="0"/>
        <w:rPr/>
      </w:pPr>
      <w:r>
        <w:rPr/>
        <w:t>Carte d’ensemble des ilots de l’exploitation :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>I.1 V</w:t>
      </w:r>
      <w:bookmarkStart w:id="0" w:name="_Toc102493875"/>
      <w:r>
        <w:rPr>
          <w:b/>
          <w:bCs/>
        </w:rPr>
        <w:t xml:space="preserve">olet </w:t>
      </w:r>
      <w:bookmarkEnd w:id="0"/>
      <w:r>
        <w:rPr>
          <w:b/>
          <w:bCs/>
        </w:rPr>
        <w:t>agricole</w:t>
      </w:r>
    </w:p>
    <w:p>
      <w:pPr>
        <w:pStyle w:val="Corpsdetexte"/>
        <w:rPr/>
      </w:pPr>
      <w:r>
        <w:rPr/>
        <w:tab/>
        <w:t xml:space="preserve">I.1.1 - </w:t>
      </w:r>
      <w:bookmarkStart w:id="1" w:name="_Toc102493876"/>
      <w:bookmarkStart w:id="2" w:name="_Toc332710618"/>
      <w:r>
        <w:rPr>
          <w:u w:val="single"/>
        </w:rPr>
        <w:t xml:space="preserve">Présentation </w:t>
      </w:r>
      <w:bookmarkEnd w:id="2"/>
      <w:r>
        <w:rPr>
          <w:u w:val="single"/>
        </w:rPr>
        <w:t>générale</w:t>
      </w:r>
      <w:bookmarkStart w:id="3" w:name="_Toc102493877"/>
      <w:bookmarkEnd w:id="1"/>
      <w:r>
        <w:rPr>
          <w:u w:val="single"/>
        </w:rPr>
        <w:t xml:space="preserve"> de </w:t>
      </w:r>
      <w:bookmarkEnd w:id="3"/>
      <w:r>
        <w:rPr>
          <w:u w:val="single"/>
        </w:rPr>
        <w:t>l’exploitation</w:t>
      </w:r>
    </w:p>
    <w:p>
      <w:pPr>
        <w:pStyle w:val="Normal"/>
        <w:rPr/>
      </w:pPr>
      <w:r>
        <w:rPr/>
        <w:t>Historique de l’exploitation et de l’installation</w:t>
      </w:r>
    </w:p>
    <w:p>
      <w:pPr>
        <w:pStyle w:val="Normal"/>
        <w:rPr/>
      </w:pPr>
      <w:r>
        <w:rPr/>
        <w:t>Main d’œuvre : Nombre d’UTH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Surfaces :</w:t>
      </w:r>
    </w:p>
    <w:p>
      <w:pPr>
        <w:pStyle w:val="Normal"/>
        <w:ind w:left="0" w:right="0" w:firstLine="709"/>
        <w:rPr/>
      </w:pPr>
      <w:r>
        <w:rPr/>
        <w:t>SAU (propriété, baux, location verbale, convention de pâturage (avec quel propriétaire ?)</w:t>
      </w:r>
    </w:p>
    <w:p>
      <w:pPr>
        <w:pStyle w:val="Normal"/>
        <w:ind w:left="0" w:right="0" w:firstLine="709"/>
        <w:rPr/>
      </w:pPr>
      <w:r>
        <w:rPr/>
        <w:t>Assolement et localisation des terres</w:t>
      </w:r>
    </w:p>
    <w:p>
      <w:pPr>
        <w:pStyle w:val="Normal"/>
        <w:ind w:left="0" w:right="0" w:firstLine="709"/>
        <w:rPr/>
      </w:pPr>
      <w:r>
        <w:rPr/>
        <w:t>Irrigation (modalité et nombre d’ha irrigués)</w:t>
      </w:r>
    </w:p>
    <w:p>
      <w:pPr>
        <w:pStyle w:val="Normal"/>
        <w:ind w:left="0" w:right="0" w:firstLine="709"/>
        <w:rPr/>
      </w:pPr>
      <w:r>
        <w:rPr/>
        <w:t>Commercialisation des cultures de vente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Système d’élevage :</w:t>
      </w:r>
    </w:p>
    <w:p>
      <w:pPr>
        <w:pStyle w:val="Normal"/>
        <w:ind w:left="0" w:right="0" w:firstLine="709"/>
        <w:rPr/>
      </w:pPr>
      <w:r>
        <w:rPr/>
        <w:t>Cheptel et race</w:t>
      </w:r>
    </w:p>
    <w:p>
      <w:pPr>
        <w:pStyle w:val="Normal"/>
        <w:ind w:left="0" w:right="0" w:firstLine="709"/>
        <w:rPr/>
      </w:pPr>
      <w:r>
        <w:rPr/>
        <w:t>Gestion de la reproduction (périodes de vêlage/agnelage), type de renouvellement …</w:t>
      </w:r>
    </w:p>
    <w:p>
      <w:pPr>
        <w:pStyle w:val="Normal"/>
        <w:ind w:left="0" w:right="0" w:firstLine="709"/>
        <w:rPr/>
      </w:pPr>
      <w:r>
        <w:rPr/>
        <w:t>Commercialisation (produits et types d’animaux vendus, à qui, SOQ…)</w:t>
      </w:r>
    </w:p>
    <w:p>
      <w:pPr>
        <w:pStyle w:val="Normal"/>
        <w:ind w:left="0" w:right="0" w:firstLine="709"/>
        <w:rPr/>
      </w:pPr>
      <w:r>
        <w:rPr/>
        <w:t>Estive collective, mise ou prise en pension, hivernage (transhumance inverse …)</w:t>
      </w:r>
    </w:p>
    <w:p>
      <w:pPr>
        <w:pStyle w:val="Normal"/>
        <w:ind w:left="0" w:right="0" w:firstLine="709"/>
        <w:rPr/>
      </w:pPr>
      <w:r>
        <w:rPr/>
        <w:t>Autosuffisance, achats extérieurs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Moyens de production :</w:t>
      </w:r>
    </w:p>
    <w:p>
      <w:pPr>
        <w:pStyle w:val="Normal"/>
        <w:rPr/>
      </w:pPr>
      <w:r>
        <w:rPr/>
        <w:t>Bâtiments et Matériel 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Diversification / Travail à l’extérieur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Evolutions de l’exploitation/ projets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Corpsdetexte"/>
        <w:rPr>
          <w:u w:val="single"/>
        </w:rPr>
      </w:pPr>
      <w:r>
        <w:rPr>
          <w:u w:val="none"/>
        </w:rPr>
        <w:tab/>
        <w:t xml:space="preserve">I.1.2 - </w:t>
      </w:r>
      <w:r>
        <w:rPr>
          <w:u w:val="single"/>
        </w:rPr>
        <w:t>Pratiques culturales et utilisation des terres et pratiques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Reprise du RPG pour localiser les surfaces et IAE susceptibles d’être concernées par une mesure. </w:t>
      </w:r>
    </w:p>
    <w:tbl>
      <w:tblPr>
        <w:tblW w:w="961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1"/>
        <w:gridCol w:w="2491"/>
        <w:gridCol w:w="3063"/>
        <w:gridCol w:w="3388"/>
      </w:tblGrid>
      <w:tr>
        <w:trPr>
          <w:trHeight w:val="1131" w:hRule="atLeast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N° d’ilot ou de parcelle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Type d’utilisation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tabs>
                <w:tab w:val="clear" w:pos="709"/>
                <w:tab w:val="left" w:pos="4050" w:leader="none"/>
              </w:tabs>
              <w:rPr/>
            </w:pPr>
            <w:r>
              <w:rPr/>
              <w:t>Pratiques culturales (fertilisation, phytos, rotations, irrigation)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  <w:t>IAE ou autres éléments présents sur la parcelle*</w:t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fauchée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temporaire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Culture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pâturée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Parcours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humide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...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*</w:t>
      </w:r>
      <w:r>
        <w:rPr/>
        <w:t>relève du volet écologique mais plus simple de ne faire qu’un seul tableau</w:t>
      </w:r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 xml:space="preserve">I.1.3 - </w:t>
      </w:r>
      <w:r>
        <w:rPr>
          <w:u w:val="single"/>
        </w:rPr>
        <w:t>Synthèse de cet état des lieux (points forts, points faibles, enjeux) et préconisations éventuelles</w:t>
      </w:r>
    </w:p>
    <w:p>
      <w:pPr>
        <w:pStyle w:val="Normal"/>
        <w:rPr/>
      </w:pPr>
      <w:r>
        <w:rPr/>
      </w:r>
      <w:bookmarkStart w:id="4" w:name="_Toc332710619"/>
      <w:bookmarkStart w:id="5" w:name="_Toc332710619"/>
      <w:bookmarkEnd w:id="5"/>
      <w:r>
        <w:br w:type="page"/>
      </w:r>
    </w:p>
    <w:p>
      <w:pPr>
        <w:pStyle w:val="Corpsdetexte"/>
        <w:numPr>
          <w:ilvl w:val="0"/>
          <w:numId w:val="0"/>
        </w:numPr>
        <w:suppressAutoHyphens w:val="true"/>
        <w:spacing w:lineRule="auto" w:line="276" w:before="0" w:after="140"/>
        <w:ind w:left="360" w:right="0" w:hanging="0"/>
        <w:rPr/>
      </w:pPr>
      <w:r>
        <w:rPr>
          <w:b/>
          <w:bCs/>
        </w:rPr>
        <w:t xml:space="preserve">I.2 - </w:t>
      </w:r>
      <w:bookmarkStart w:id="6" w:name="_Toc102493886"/>
      <w:r>
        <w:rPr>
          <w:b/>
          <w:bCs/>
        </w:rPr>
        <w:t>Volet écologique</w:t>
      </w:r>
      <w:bookmarkEnd w:id="6"/>
      <w:r>
        <w:rPr>
          <w:b/>
          <w:bCs/>
        </w:rPr>
        <w:t xml:space="preserve"> reprise du PAEC</w:t>
      </w:r>
      <w:r>
        <w:rPr/>
        <w:tab/>
        <w:tab/>
        <w:tab/>
        <w:tab/>
        <w:tab/>
        <w:tab/>
      </w:r>
    </w:p>
    <w:p>
      <w:pPr>
        <w:pStyle w:val="Corpsdetexte"/>
        <w:rPr/>
      </w:pPr>
      <w:r>
        <w:rPr/>
        <w:tab/>
        <w:t xml:space="preserve">I.2.1 - </w:t>
      </w:r>
      <w:bookmarkStart w:id="7" w:name="_Toc332710626"/>
      <w:bookmarkStart w:id="8" w:name="_Toc102493887"/>
      <w:r>
        <w:rPr>
          <w:u w:val="single"/>
        </w:rPr>
        <w:t>Contexte général</w:t>
      </w:r>
      <w:bookmarkEnd w:id="7"/>
      <w:bookmarkEnd w:id="8"/>
    </w:p>
    <w:p>
      <w:pPr>
        <w:pStyle w:val="Corpsdetexte"/>
        <w:rPr>
          <w:u w:val="single"/>
        </w:rPr>
      </w:pPr>
      <w:r>
        <w:rPr>
          <w:u w:val="single"/>
        </w:rPr>
      </w:r>
    </w:p>
    <w:p>
      <w:pPr>
        <w:pStyle w:val="Corpsdetexte"/>
        <w:rPr/>
      </w:pPr>
      <w:r>
        <w:rPr/>
        <w:tab/>
        <w:tab/>
      </w:r>
      <w:r>
        <w:rPr>
          <w:i/>
          <w:iCs/>
        </w:rPr>
        <w:t xml:space="preserve">a - </w:t>
      </w:r>
      <w:bookmarkStart w:id="9" w:name="_Toc332710627"/>
      <w:bookmarkStart w:id="10" w:name="_Toc102493888"/>
      <w:r>
        <w:rPr>
          <w:i/>
          <w:iCs/>
          <w:u w:val="single"/>
        </w:rPr>
        <w:t>Environnement physique</w:t>
      </w:r>
      <w:r>
        <w:rPr>
          <w:i/>
          <w:iCs/>
        </w:rPr>
        <w:t> :</w:t>
      </w:r>
      <w:bookmarkEnd w:id="9"/>
      <w:bookmarkEnd w:id="10"/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  <w:tab/>
        <w:tab/>
      </w:r>
      <w:r>
        <w:rPr>
          <w:i/>
          <w:iCs/>
        </w:rPr>
        <w:t xml:space="preserve">b - </w:t>
      </w:r>
      <w:bookmarkStart w:id="11" w:name="_Toc102493889"/>
      <w:bookmarkStart w:id="12" w:name="_Toc332710628"/>
      <w:r>
        <w:rPr>
          <w:i/>
          <w:iCs/>
          <w:u w:val="single"/>
        </w:rPr>
        <w:t>Zonages environnementaux</w:t>
      </w:r>
      <w:r>
        <w:rPr>
          <w:i/>
          <w:iCs/>
        </w:rPr>
        <w:t> :</w:t>
      </w:r>
      <w:bookmarkEnd w:id="11"/>
      <w:bookmarkEnd w:id="1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t xml:space="preserve">I.2.2 - </w:t>
      </w:r>
      <w:r>
        <w:rPr>
          <w:u w:val="single"/>
        </w:rPr>
        <w:t xml:space="preserve">Les enjeux du PAEC pour la zone </w:t>
      </w:r>
      <w:r>
        <w:rPr>
          <w:rStyle w:val="Policepardfaut"/>
          <w:rFonts w:cs="Arial"/>
          <w:bCs/>
          <w:szCs w:val="26"/>
          <w:u w:val="single"/>
        </w:rPr>
        <w:t>en</w:t>
      </w:r>
      <w:r>
        <w:rPr>
          <w:u w:val="single"/>
        </w:rPr>
        <w:t xml:space="preserve"> question</w:t>
      </w:r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ab/>
      </w:r>
      <w:r>
        <w:rPr>
          <w:i/>
          <w:iCs/>
          <w:u w:val="none"/>
        </w:rPr>
        <w:t xml:space="preserve">a - </w:t>
      </w:r>
      <w:r>
        <w:rPr>
          <w:i/>
          <w:iCs/>
          <w:u w:val="none"/>
        </w:rPr>
        <w:t>Reprise des zonages du PAEC et cartes de croisement avec le RPG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ab/>
      </w:r>
      <w:r>
        <w:rPr>
          <w:i/>
          <w:iCs/>
        </w:rPr>
        <w:t xml:space="preserve">b - </w:t>
      </w:r>
      <w:r>
        <w:rPr>
          <w:i/>
          <w:iCs/>
        </w:rPr>
        <w:t xml:space="preserve">Eléments sur les parcelles </w:t>
      </w:r>
      <w:r>
        <w:rPr>
          <w:rStyle w:val="Policepardfaut"/>
          <w:i/>
          <w:iCs/>
          <w:color w:val="FF0000"/>
          <w:u w:val="none"/>
        </w:rPr>
        <w:t>(</w:t>
      </w:r>
      <w:r>
        <w:rPr>
          <w:rStyle w:val="Policepardfaut"/>
          <w:i/>
          <w:iCs/>
          <w:color w:val="FF0000"/>
          <w:u w:val="none"/>
        </w:rPr>
        <w:t>cf. I.1.2</w:t>
      </w:r>
      <w:r>
        <w:rPr>
          <w:rStyle w:val="Policepardfaut"/>
          <w:i/>
          <w:iCs/>
          <w:color w:val="FF0000"/>
          <w:u w:val="none"/>
        </w:rPr>
        <w:t>)</w:t>
      </w:r>
    </w:p>
    <w:p>
      <w:pPr>
        <w:pStyle w:val="Corpsdetexte"/>
        <w:rPr>
          <w:rStyle w:val="Policepardfaut"/>
          <w:i/>
          <w:i/>
          <w:iCs/>
          <w:color w:val="FF0000"/>
          <w:u w:val="none"/>
        </w:rPr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>I.3</w:t>
      </w:r>
      <w:r>
        <w:rPr>
          <w:b/>
          <w:bCs/>
        </w:rPr>
        <w:t xml:space="preserve"> -  Croisement entre les objectifs du PAEC et les enjeux de l’exploitation</w:t>
      </w:r>
    </w:p>
    <w:p>
      <w:pPr>
        <w:pStyle w:val="Normal"/>
        <w:rPr/>
      </w:pPr>
      <w:r>
        <w:rPr/>
        <w:t>.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Description des Objectifs du PAEC + synthèse du diagnostic agri environnement de l’exploitation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I.4 - </w:t>
      </w:r>
      <w:r>
        <w:rPr>
          <w:b/>
          <w:bCs/>
        </w:rPr>
        <w:t>Synthèse de cet état des lieux (éléments retenus) et préconisations de mesures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/>
      </w:pPr>
      <w:r>
        <w:rPr>
          <w:rStyle w:val="Policepardfaut"/>
          <w:szCs w:val="22"/>
        </w:rPr>
        <w:tab/>
      </w:r>
      <w:r>
        <w:rPr>
          <w:rStyle w:val="Policepardfaut"/>
          <w:szCs w:val="22"/>
        </w:rPr>
        <w:t xml:space="preserve">I.4.1 : </w:t>
      </w:r>
      <w:r>
        <w:rPr>
          <w:rStyle w:val="Policepardfaut"/>
          <w:szCs w:val="22"/>
          <w:u w:val="single"/>
        </w:rPr>
        <w:t>Mesures</w:t>
      </w:r>
      <w:r>
        <w:rPr>
          <w:rStyle w:val="Policepardfaut"/>
          <w:sz w:val="22"/>
          <w:szCs w:val="22"/>
          <w:u w:val="single"/>
        </w:rPr>
        <w:t xml:space="preserve"> </w:t>
      </w:r>
      <w:r>
        <w:rPr>
          <w:u w:val="single"/>
        </w:rPr>
        <w:t>retenues :</w:t>
      </w:r>
    </w:p>
    <w:p>
      <w:pPr>
        <w:pStyle w:val="Normal1"/>
        <w:rPr/>
      </w:pPr>
      <w:r>
        <w:rPr/>
      </w:r>
    </w:p>
    <w:tbl>
      <w:tblPr>
        <w:tblW w:w="96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3368"/>
        <w:gridCol w:w="2889"/>
      </w:tblGrid>
      <w:tr>
        <w:trPr>
          <w:trHeight w:val="251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N° ilot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Mesure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Surface</w:t>
            </w:r>
          </w:p>
        </w:tc>
      </w:tr>
      <w:tr>
        <w:trPr>
          <w:trHeight w:val="24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1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</w:r>
      <w:r>
        <w:rPr/>
        <w:t xml:space="preserve">I.4.2 - </w:t>
      </w:r>
      <w:r>
        <w:rPr>
          <w:u w:val="single"/>
        </w:rPr>
        <w:t>Cartographie des surfaces engagées </w:t>
      </w:r>
      <w:r>
        <w:rPr/>
        <w:t>:</w:t>
      </w:r>
      <w:r>
        <w:br w:type="page"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/>
      </w:pPr>
      <w:r>
        <w:rPr>
          <w:rStyle w:val="Policepardfaut"/>
          <w:rFonts w:ascii="Liberation Sans" w:hAnsi="Liberation Sans"/>
          <w:b/>
          <w:bCs/>
          <w:sz w:val="56"/>
          <w:szCs w:val="56"/>
        </w:rPr>
        <w:t>Partie II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/>
      </w:pPr>
      <w:r>
        <w:rPr>
          <w:rStyle w:val="Policepardfaut"/>
          <w:rFonts w:ascii="Liberation Sans" w:hAnsi="Liberation Sans"/>
          <w:b/>
          <w:bCs/>
          <w:sz w:val="56"/>
          <w:szCs w:val="56"/>
        </w:rPr>
        <w:t xml:space="preserve">DAE complémentaire mesure 70.10 </w:t>
      </w:r>
      <w:r>
        <w:rPr>
          <w:rStyle w:val="Policepardfaut"/>
          <w:rFonts w:ascii="Liberation Sans" w:hAnsi="Liberation Sans"/>
          <w:b/>
          <w:bCs/>
          <w:i/>
          <w:iCs/>
          <w:sz w:val="56"/>
          <w:szCs w:val="56"/>
        </w:rPr>
        <w:t>Surfaces herbagères et pastorales Prairies</w:t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II.1 - </w:t>
      </w:r>
      <w:r>
        <w:rPr>
          <w:rFonts w:ascii="Liberation Sans" w:hAnsi="Liberation Sans"/>
          <w:b/>
          <w:bCs/>
          <w:sz w:val="28"/>
          <w:szCs w:val="28"/>
        </w:rPr>
        <w:t>Compléments sur les volets agricoles et écologiques :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5"/>
        <w:gridCol w:w="3060"/>
        <w:gridCol w:w="4380"/>
      </w:tblGrid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Numéro d’ilot ou de parcelle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Type d’utilisation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Nombre espèces liste plantes indicatrices</w:t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fauchée uniquement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fauchée et pâturée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pâturée uniquement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itre2"/>
        <w:tabs>
          <w:tab w:val="clear" w:pos="709"/>
          <w:tab w:val="left" w:pos="0" w:leader="none"/>
        </w:tabs>
        <w:ind w:left="0" w:hanging="0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II.2 - </w:t>
      </w:r>
      <w:r>
        <w:rPr>
          <w:b/>
          <w:bCs/>
        </w:rPr>
        <w:t>Points de contrôle 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diagnostic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cahier d’enregistrement à jour</w:t>
      </w:r>
    </w:p>
    <w:p>
      <w:pPr>
        <w:pStyle w:val="Normal"/>
        <w:rPr/>
      </w:pPr>
      <w:r>
        <w:rPr>
          <w:rStyle w:val="Policepardfaut"/>
          <w:rFonts w:eastAsia="Wingdings" w:cs="Wingdings"/>
          <w:b w:val="false"/>
          <w:bCs w:val="false"/>
          <w:sz w:val="28"/>
          <w:szCs w:val="20"/>
        </w:rPr>
        <w:t></w:t>
      </w:r>
      <w:r>
        <w:rPr>
          <w:rStyle w:val="Policepardfaut"/>
          <w:rFonts w:eastAsia="Wingdings" w:cs="Wingdings"/>
          <w:b w:val="false"/>
          <w:bCs w:val="false"/>
          <w:sz w:val="24"/>
          <w:szCs w:val="24"/>
        </w:rPr>
        <w:t>Présence d</w:t>
      </w:r>
      <w:r>
        <w:rPr>
          <w:rStyle w:val="Policepardfaut"/>
          <w:rFonts w:eastAsia="Wingdings" w:cs="Wingdings"/>
          <w:b w:val="false"/>
          <w:bCs w:val="false"/>
          <w:sz w:val="24"/>
          <w:szCs w:val="24"/>
        </w:rPr>
        <w:t>es 4 plantes indicatrices</w:t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  <w:r>
        <w:br w:type="page"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/>
      </w:pPr>
      <w:r>
        <w:rPr>
          <w:rStyle w:val="Policepardfaut"/>
          <w:rFonts w:ascii="Liberation Sans" w:hAnsi="Liberation Sans"/>
          <w:b/>
          <w:bCs/>
          <w:sz w:val="56"/>
          <w:szCs w:val="56"/>
        </w:rPr>
        <w:t>Partie III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/>
      </w:pPr>
      <w:r>
        <w:rPr>
          <w:rStyle w:val="Policepardfaut"/>
          <w:rFonts w:ascii="Liberation Sans" w:hAnsi="Liberation Sans"/>
          <w:b/>
          <w:bCs/>
          <w:sz w:val="56"/>
          <w:szCs w:val="56"/>
        </w:rPr>
        <w:t xml:space="preserve">DAE complémentaire mesure 70.10 </w:t>
      </w:r>
      <w:r>
        <w:rPr>
          <w:rStyle w:val="Policepardfaut"/>
          <w:rFonts w:ascii="Liberation Sans" w:hAnsi="Liberation Sans"/>
          <w:b/>
          <w:bCs/>
          <w:i/>
          <w:iCs/>
          <w:sz w:val="56"/>
          <w:szCs w:val="56"/>
        </w:rPr>
        <w:t>Surfaces herbagères et pastorales Entités collectives et individuelles (mesure localisée et système)</w:t>
      </w:r>
    </w:p>
    <w:p>
      <w:pPr>
        <w:pStyle w:val="Titre1"/>
        <w:tabs>
          <w:tab w:val="clear" w:pos="709"/>
          <w:tab w:val="left" w:pos="0" w:leader="none"/>
        </w:tabs>
        <w:ind w:left="0" w:hanging="0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III.1 - </w:t>
      </w:r>
      <w:r>
        <w:rPr>
          <w:b/>
          <w:bCs/>
        </w:rPr>
        <w:t>Compléments sur les volets agricoles et écologiques 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tbl>
      <w:tblPr>
        <w:tblW w:w="961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5"/>
        <w:gridCol w:w="1588"/>
        <w:gridCol w:w="2612"/>
        <w:gridCol w:w="3488"/>
      </w:tblGrid>
      <w:tr>
        <w:trPr>
          <w:trHeight w:val="522" w:hRule="atLeast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Numéro d’ilot ou de parcelle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Surfaces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Plage d’effectifs borne mini et maxi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DE8C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  <w:t>Indicateurs (présences de plantes indicatrices, taux de prélèvements…)</w:t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itre1"/>
        <w:tabs>
          <w:tab w:val="clear" w:pos="709"/>
          <w:tab w:val="left" w:pos="0" w:leader="none"/>
        </w:tabs>
        <w:ind w:left="0" w:hanging="0"/>
        <w:rPr/>
      </w:pPr>
      <w:r>
        <w:rPr/>
      </w:r>
    </w:p>
    <w:p>
      <w:pPr>
        <w:pStyle w:val="Titre2"/>
        <w:tabs>
          <w:tab w:val="clear" w:pos="709"/>
          <w:tab w:val="left" w:pos="0" w:leader="none"/>
        </w:tabs>
        <w:ind w:left="0" w:hanging="0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III.2 - </w:t>
      </w:r>
      <w:r>
        <w:rPr>
          <w:b/>
          <w:bCs/>
        </w:rPr>
        <w:t xml:space="preserve">Points de contrôle : 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diagnostic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cahier d’enregistrement à jour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rFonts w:ascii="Liberation Sans" w:hAnsi="Liberation Sans"/>
          <w:b w:val="false"/>
          <w:bCs w:val="false"/>
          <w:sz w:val="24"/>
          <w:szCs w:val="24"/>
        </w:rPr>
        <w:t>Respect des plages, des taux de prélèvements et de l’absence de dégadations</w:t>
      </w:r>
      <w:r>
        <w:br w:type="page"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>
          <w:rFonts w:ascii="Liberation Sans" w:hAnsi="Liberation Sans"/>
          <w:b/>
          <w:b/>
          <w:bCs/>
          <w:sz w:val="56"/>
          <w:szCs w:val="56"/>
        </w:rPr>
      </w:pPr>
      <w:r>
        <w:rPr>
          <w:rFonts w:ascii="Liberation Sans" w:hAnsi="Liberation Sans"/>
          <w:b/>
          <w:bCs/>
          <w:sz w:val="56"/>
          <w:szCs w:val="56"/>
        </w:rPr>
        <w:t>Partie IV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>
          <w:rFonts w:ascii="Liberation Sans" w:hAnsi="Liberation Sans"/>
          <w:b/>
          <w:b/>
          <w:bCs/>
          <w:sz w:val="56"/>
          <w:szCs w:val="56"/>
        </w:rPr>
      </w:pPr>
      <w:r>
        <w:rPr>
          <w:rFonts w:ascii="Liberation Sans" w:hAnsi="Liberation Sans"/>
          <w:b/>
          <w:bCs/>
          <w:sz w:val="56"/>
          <w:szCs w:val="56"/>
        </w:rPr>
        <w:t>DAE complémentaire mesure 70.13</w:t>
        <w:tab/>
        <w:t>Maintien de l’ouverture des milieux</w:t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IV.1 - </w:t>
      </w:r>
      <w:r>
        <w:rPr>
          <w:b/>
          <w:bCs/>
        </w:rPr>
        <w:t>Compléments sur le volet agricole et écologique</w:t>
      </w:r>
    </w:p>
    <w:p>
      <w:pPr>
        <w:pStyle w:val="Normal"/>
        <w:rPr/>
      </w:pPr>
      <w:r>
        <w:rPr/>
      </w:r>
    </w:p>
    <w:tbl>
      <w:tblPr>
        <w:tblW w:w="966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031"/>
        <w:gridCol w:w="3222"/>
      </w:tblGrid>
      <w:tr>
        <w:trPr>
          <w:trHeight w:val="27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N° ilot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Description du milieux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Commentaire</w:t>
            </w:r>
          </w:p>
        </w:tc>
      </w:tr>
      <w:tr>
        <w:trPr>
          <w:trHeight w:val="261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>
                <w:i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Etat de fermeture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>
                <w:i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Pratiques actuelles</w:t>
            </w:r>
          </w:p>
        </w:tc>
      </w:tr>
      <w:tr>
        <w:trPr>
          <w:trHeight w:val="27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</w:tbl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IV.2 - </w:t>
      </w:r>
      <w:r>
        <w:rPr>
          <w:b/>
          <w:bCs/>
        </w:rPr>
        <w:t xml:space="preserve">Plan de gestion </w:t>
      </w:r>
    </w:p>
    <w:p>
      <w:pPr>
        <w:pStyle w:val="Normal"/>
        <w:rPr/>
      </w:pPr>
      <w:r>
        <w:rPr/>
      </w:r>
    </w:p>
    <w:tbl>
      <w:tblPr>
        <w:tblW w:w="1071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28"/>
        <w:gridCol w:w="2946"/>
        <w:gridCol w:w="2673"/>
        <w:gridCol w:w="2263"/>
      </w:tblGrid>
      <w:tr>
        <w:trPr/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N° Ilot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Type de milieux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Préconisation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Modalité d’intervention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1"/>
              <w:rPr/>
            </w:pPr>
            <w:r>
              <w:rPr/>
              <w:t>Points de contrôle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>
                <w:rStyle w:val="Policepardfaut"/>
                <w:i/>
                <w:iCs/>
                <w:sz w:val="22"/>
                <w:szCs w:val="22"/>
              </w:rPr>
              <w:t>Taux de recouvrement de ligneux à maintenir, espèces à éliminer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>
                <w:rStyle w:val="Policepardfaut"/>
                <w:i/>
                <w:iCs/>
                <w:sz w:val="22"/>
                <w:szCs w:val="22"/>
              </w:rPr>
              <w:t>Méthode (pâturage, broyage...), période d’intervention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</w:tbl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>IV.3 – Points de contrôle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 xml:space="preserve">Présence du diagnostic et plan de gestion 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cahier d’enregistrement à jour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Points de contrôle du plan de gestion</w:t>
      </w:r>
      <w:r>
        <w:br w:type="page"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/>
      </w:pPr>
      <w:r>
        <w:rPr>
          <w:rStyle w:val="Policepardfaut"/>
          <w:rFonts w:ascii="Liberation Sans" w:hAnsi="Liberation Sans"/>
          <w:b/>
          <w:bCs/>
          <w:sz w:val="56"/>
          <w:szCs w:val="56"/>
        </w:rPr>
        <w:t>Partie V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jc w:val="center"/>
        <w:rPr/>
      </w:pPr>
      <w:r>
        <w:rPr>
          <w:rStyle w:val="Policepardfaut"/>
          <w:rFonts w:ascii="Liberation Sans" w:hAnsi="Liberation Sans"/>
          <w:b/>
          <w:bCs/>
          <w:sz w:val="56"/>
          <w:szCs w:val="56"/>
        </w:rPr>
        <w:t xml:space="preserve">DAE complémentaire mesure 70.12 </w:t>
      </w:r>
      <w:r>
        <w:rPr>
          <w:rStyle w:val="Policepardfaut"/>
          <w:rFonts w:ascii="Liberation Sans" w:hAnsi="Liberation Sans"/>
          <w:b/>
          <w:bCs/>
          <w:i/>
          <w:iCs/>
          <w:sz w:val="56"/>
          <w:szCs w:val="56"/>
        </w:rPr>
        <w:t>Protection des espèces</w:t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V.1 - </w:t>
      </w:r>
      <w:r>
        <w:rPr>
          <w:rFonts w:ascii="Liberation Sans" w:hAnsi="Liberation Sans"/>
          <w:b/>
          <w:bCs/>
          <w:sz w:val="28"/>
          <w:szCs w:val="28"/>
        </w:rPr>
        <w:t>Compléments sur le volet écologiques :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- espèces présentes ou habitat / cartographie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V.2 - </w:t>
      </w:r>
      <w:r>
        <w:rPr>
          <w:rFonts w:ascii="Liberation Sans" w:hAnsi="Liberation Sans"/>
          <w:b/>
          <w:bCs/>
          <w:sz w:val="28"/>
          <w:szCs w:val="28"/>
        </w:rPr>
        <w:t>Compléments sur les volets agricoles et écologiques :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05"/>
        <w:gridCol w:w="3060"/>
        <w:gridCol w:w="4380"/>
      </w:tblGrid>
      <w:tr>
        <w:trPr/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Numéro d’îlot ou de parcelle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>Type d’utilisation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DE8CF" w:val="clear"/>
          </w:tcPr>
          <w:p>
            <w:pPr>
              <w:pStyle w:val="Contenudetableau"/>
              <w:rPr/>
            </w:pPr>
            <w:r>
              <w:rPr/>
              <w:t xml:space="preserve">Espèces présentes </w:t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fauchée uniquement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fauchée et pâturée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Prairie permanente pâturée uniquement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itre2"/>
        <w:tabs>
          <w:tab w:val="clear" w:pos="709"/>
          <w:tab w:val="left" w:pos="0" w:leader="none"/>
        </w:tabs>
        <w:ind w:left="0" w:hanging="0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V.3 - </w:t>
      </w:r>
      <w:r>
        <w:rPr>
          <w:b/>
          <w:bCs/>
        </w:rPr>
        <w:t xml:space="preserve">Plan de gestion : </w:t>
      </w:r>
    </w:p>
    <w:p>
      <w:pPr>
        <w:pStyle w:val="Normal"/>
        <w:rPr/>
      </w:pPr>
      <w:r>
        <w:rPr/>
      </w:r>
    </w:p>
    <w:tbl>
      <w:tblPr>
        <w:tblW w:w="10775" w:type="dxa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57"/>
        <w:gridCol w:w="1301"/>
        <w:gridCol w:w="1713"/>
        <w:gridCol w:w="2470"/>
        <w:gridCol w:w="1852"/>
        <w:gridCol w:w="1425"/>
      </w:tblGrid>
      <w:tr>
        <w:trPr>
          <w:trHeight w:val="59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"/>
              <w:rPr/>
            </w:pPr>
            <w:r>
              <w:rPr/>
              <w:t>N° ilot ou de parcelles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"/>
              <w:rPr/>
            </w:pPr>
            <w:r>
              <w:rPr/>
              <w:t>Enjeux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"/>
              <w:rPr/>
            </w:pPr>
            <w:r>
              <w:rPr/>
              <w:t>Objectifs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"/>
              <w:rPr/>
            </w:pPr>
            <w:r>
              <w:rPr/>
              <w:t>Dates</w:t>
            </w:r>
            <w:r>
              <w:rPr/>
              <w:t xml:space="preserve"> d’utilisation préconisée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</w:tcPr>
          <w:p>
            <w:pPr>
              <w:pStyle w:val="Normal"/>
              <w:rPr/>
            </w:pPr>
            <w:r>
              <w:rPr/>
              <w:t xml:space="preserve">Pratiques préconisées </w:t>
            </w:r>
            <w:r>
              <w:rPr>
                <w:i/>
                <w:iCs/>
              </w:rPr>
              <w:t>cf. contenu minimal cahier des charges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DE8CF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En cas d’aléas climatique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DE8CF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  <w:t>Points de contrôle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Policepardfaut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Policepardfaut"/>
                <w:i/>
                <w:iCs/>
                <w:sz w:val="22"/>
                <w:szCs w:val="22"/>
              </w:rPr>
              <w:t>Chargement préconisé, respect de certaines pratiques de fauche, mise en défens…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V.4 - </w:t>
      </w:r>
      <w:r>
        <w:rPr>
          <w:b/>
          <w:bCs/>
        </w:rPr>
        <w:t xml:space="preserve">Points de contrôle : 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 xml:space="preserve">Présence du diagnostic et plan de gestion 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cahier d’enregistrement à jour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Points de contrôle du plan de gestion</w:t>
      </w:r>
    </w:p>
    <w:p>
      <w:pPr>
        <w:pStyle w:val="Normal1"/>
        <w:rPr>
          <w:rFonts w:ascii="Liberation Sans" w:hAnsi="Liberation Sans" w:eastAsia="Century Gothic" w:cs="Century Gothic"/>
          <w:b/>
          <w:b/>
          <w:bCs/>
          <w:sz w:val="28"/>
          <w:szCs w:val="28"/>
        </w:rPr>
      </w:pPr>
      <w:r>
        <w:rPr>
          <w:rFonts w:eastAsia="Century Gothic" w:cs="Century Gothic" w:ascii="Liberation Sans" w:hAnsi="Liberation Sans"/>
          <w:b/>
          <w:bCs/>
          <w:sz w:val="28"/>
          <w:szCs w:val="28"/>
        </w:rPr>
      </w:r>
    </w:p>
    <w:p>
      <w:pPr>
        <w:pStyle w:val="Normal1"/>
        <w:rPr>
          <w:rFonts w:ascii="Liberation Sans" w:hAnsi="Liberation Sans" w:eastAsia="Century Gothic" w:cs="Century Gothic"/>
          <w:b/>
          <w:b/>
          <w:bCs/>
          <w:sz w:val="28"/>
          <w:szCs w:val="28"/>
        </w:rPr>
      </w:pPr>
      <w:r>
        <w:rPr>
          <w:rFonts w:eastAsia="Century Gothic" w:cs="Century Gothic" w:ascii="Liberation Sans" w:hAnsi="Liberation Sans"/>
          <w:b/>
          <w:bCs/>
          <w:sz w:val="28"/>
          <w:szCs w:val="28"/>
        </w:rPr>
      </w:r>
    </w:p>
    <w:p>
      <w:pPr>
        <w:pStyle w:val="Tit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spacing w:before="0" w:after="0"/>
        <w:rPr/>
      </w:pPr>
      <w:r>
        <w:rPr/>
        <w:t>Partie VI</w:t>
      </w:r>
    </w:p>
    <w:p>
      <w:pPr>
        <w:pStyle w:val="Tit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spacing w:before="0" w:after="0"/>
        <w:rPr/>
      </w:pPr>
      <w:r>
        <w:rPr/>
        <w:t>DAE complémentaire mesure 70.14 </w:t>
      </w:r>
    </w:p>
    <w:p>
      <w:pPr>
        <w:pStyle w:val="Tit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spacing w:before="0" w:after="0"/>
        <w:rPr/>
      </w:pPr>
      <w:r>
        <w:rPr/>
        <w:t>Entretien durable des Infrastructures Agroécologiques</w:t>
      </w:r>
    </w:p>
    <w:p>
      <w:pPr>
        <w:pStyle w:val="Corpsdetexte"/>
        <w:rPr>
          <w:b/>
          <w:b/>
          <w:bCs/>
        </w:rPr>
      </w:pPr>
      <w:r>
        <w:rPr>
          <w:b/>
          <w:bCs/>
        </w:rPr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VI.1 - </w:t>
      </w:r>
      <w:r>
        <w:rPr>
          <w:b/>
          <w:bCs/>
        </w:rPr>
        <w:t xml:space="preserve">Complément du diagnostic agricole et écologique </w:t>
      </w:r>
    </w:p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6"/>
        <w:gridCol w:w="1926"/>
        <w:gridCol w:w="1926"/>
      </w:tblGrid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  <w:t>N° ilot ou de parcelle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  <w:t>Type IAE présentes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  <w:t>Surface ou mètre linéaire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  <w:t>Pratiques actuelles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  <w:t>Commentaires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sdetexte"/>
              <w:suppressAutoHyphens w:val="true"/>
              <w:spacing w:lineRule="auto" w:line="276" w:before="0" w:after="140"/>
              <w:rPr/>
            </w:pPr>
            <w:r>
              <w:rPr/>
            </w:r>
          </w:p>
        </w:tc>
      </w:tr>
    </w:tbl>
    <w:p>
      <w:pPr>
        <w:pStyle w:val="Corpsdetexte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VI.2 - </w:t>
      </w:r>
      <w:r>
        <w:rPr>
          <w:b/>
          <w:bCs/>
        </w:rPr>
        <w:t xml:space="preserve">Plan de gestion : </w:t>
      </w:r>
    </w:p>
    <w:p>
      <w:pPr>
        <w:pStyle w:val="Normal"/>
        <w:rPr/>
      </w:pPr>
      <w:r>
        <w:rPr/>
      </w:r>
    </w:p>
    <w:tbl>
      <w:tblPr>
        <w:tblW w:w="107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3575"/>
        <w:gridCol w:w="2387"/>
      </w:tblGrid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N° ilot ou de parcelles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Type IAE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E6CD" w:val="clea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Préconisation d’amélioration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E6CD" w:val="clea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Points de contrôle</w:t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cs="Calibri" w:ascii="Calibri" w:hAnsi="Calibri"/>
                <w:i/>
                <w:iCs/>
                <w:sz w:val="20"/>
                <w:szCs w:val="16"/>
              </w:rPr>
              <w:t>Exemple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>Ligneux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 xml:space="preserve">Type de taille : 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 xml:space="preserve">Type d’outil : 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 xml:space="preserve">Nombre de taille : 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>Période d’intervention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cs="Calibri" w:ascii="Calibri" w:hAnsi="Calibri"/>
                <w:i/>
                <w:iCs/>
                <w:sz w:val="20"/>
                <w:szCs w:val="16"/>
              </w:rPr>
              <w:t>Mare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 xml:space="preserve">Modalité d’intervention : débroussaillage / curage… 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>Date / fréquence d’intervention :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>Modalité d’entretien : lutte manuelle/ mécanique….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>Condition accès aux animaux : date, chargement max, interdiction d’abreuvement …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</w:r>
          </w:p>
        </w:tc>
      </w:tr>
      <w:tr>
        <w:trPr/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>Fossé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 xml:space="preserve">Modalité d’entretien : lutte manuelle / mécanique ; liste des EE à éliminer </w:t>
            </w:r>
          </w:p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  <w:t xml:space="preserve">Date / fréquence d’intervention :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/>
                <w:iCs/>
                <w:sz w:val="20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16"/>
              </w:rPr>
            </w:r>
          </w:p>
        </w:tc>
      </w:tr>
    </w:tbl>
    <w:p>
      <w:pPr>
        <w:pStyle w:val="Corpsdetexte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 xml:space="preserve">VI.3 - </w:t>
      </w:r>
      <w:r>
        <w:rPr>
          <w:b/>
          <w:bCs/>
        </w:rPr>
        <w:t>Points de contrôle :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 xml:space="preserve">Présence du diagnostic et plan de gestion 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cahier d’enregistrement à jour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Points de contrôle du plan de gestion</w:t>
      </w:r>
      <w:r>
        <w:br w:type="page"/>
      </w:r>
    </w:p>
    <w:p>
      <w:pPr>
        <w:pStyle w:val="Normal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</w:r>
    </w:p>
    <w:p>
      <w:pPr>
        <w:pStyle w:val="Tit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rPr/>
      </w:pPr>
      <w:r>
        <w:rPr/>
        <w:t>Partie VII</w:t>
      </w:r>
    </w:p>
    <w:p>
      <w:pPr>
        <w:pStyle w:val="Tit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EEE0D1" w:val="clear"/>
        <w:rPr/>
      </w:pPr>
      <w:r>
        <w:rPr/>
        <w:t xml:space="preserve">DAE complémentaire mesure 70.10 </w:t>
      </w:r>
      <w:r>
        <w:rPr>
          <w:rStyle w:val="Policepardfaut"/>
          <w:i/>
          <w:iCs/>
        </w:rPr>
        <w:t>Amélioration de la gestion des surfaces H et P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>
          <w:rStyle w:val="Policepardfaut"/>
          <w:b/>
          <w:bCs/>
        </w:rPr>
        <w:t>VII.1 - C</w:t>
      </w:r>
      <w:r>
        <w:rPr>
          <w:rStyle w:val="Policepardfaut"/>
          <w:b/>
          <w:bCs/>
        </w:rPr>
        <w:t>ompléments DAE volet agricole :</w:t>
      </w:r>
    </w:p>
    <w:p>
      <w:pPr>
        <w:pStyle w:val="Corpsdetexte"/>
        <w:rPr/>
      </w:pPr>
      <w:r>
        <w:rPr/>
        <w:tab/>
      </w:r>
      <w:r>
        <w:rPr/>
        <w:t xml:space="preserve">VII.1.1 : </w:t>
      </w:r>
      <w:r>
        <w:rPr>
          <w:u w:val="single"/>
        </w:rPr>
        <w:t>Pratiques de pâturage actuelles : calendrier sur l’année</w:t>
      </w:r>
    </w:p>
    <w:p>
      <w:pPr>
        <w:pStyle w:val="Normal"/>
        <w:rPr>
          <w:b/>
          <w:b/>
          <w:i/>
          <w:i/>
          <w:color w:val="B58B80"/>
          <w:sz w:val="20"/>
        </w:rPr>
      </w:pPr>
      <w:r>
        <w:rPr>
          <w:b/>
          <w:i/>
          <w:color w:val="B58B80"/>
          <w:sz w:val="20"/>
        </w:rPr>
      </w:r>
    </w:p>
    <w:p>
      <w:pPr>
        <w:pStyle w:val="Normal1"/>
        <w:rPr/>
      </w:pPr>
      <w:r>
        <w:rPr/>
        <w:t>De la sortie des animaux à leur rentrée en bâtiment, quel est le circuit de pâturage sur les ilots de l’exploitation ? avec quels lots d’animaux ? avec quelle pratique ? (parc/garde), par grands quartiers homogènes (en termes de grands types de milieu : parcours, surfaces cultivées/récoltées).</w:t>
      </w:r>
    </w:p>
    <w:p>
      <w:pPr>
        <w:pStyle w:val="Normal"/>
        <w:rPr/>
      </w:pPr>
      <w:r>
        <w:rPr/>
        <w:t xml:space="preserve">Formalisation par carto printemps/été/automne/hiver ?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spacing w:before="0" w:after="120"/>
        <w:rPr/>
      </w:pPr>
      <w:r>
        <w:rPr>
          <w:rStyle w:val="Policepardfaut"/>
          <w:b/>
          <w:bCs/>
          <w:szCs w:val="20"/>
        </w:rPr>
        <w:t>Mouvements du troupeau sur la saison</w:t>
      </w:r>
    </w:p>
    <w:tbl>
      <w:tblPr>
        <w:tblW w:w="928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582"/>
        <w:gridCol w:w="2307"/>
        <w:gridCol w:w="4395"/>
      </w:tblGrid>
      <w:tr>
        <w:trPr>
          <w:trHeight w:val="468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CE9E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b/>
                <w:bCs/>
                <w:szCs w:val="20"/>
              </w:rPr>
              <w:t>Périodes de pâturage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CE9E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b/>
                <w:bCs/>
                <w:szCs w:val="20"/>
              </w:rPr>
              <w:t>Secteurs utilisés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CE9E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b/>
                <w:bCs/>
                <w:szCs w:val="20"/>
              </w:rPr>
              <w:t>Commentaires</w:t>
            </w:r>
          </w:p>
        </w:tc>
      </w:tr>
      <w:tr>
        <w:trPr>
          <w:trHeight w:val="274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rFonts w:ascii="Century Gothic" w:hAnsi="Century Gothic" w:cs="Arial"/>
                <w:szCs w:val="20"/>
              </w:rPr>
            </w:pPr>
            <w:r>
              <w:rPr>
                <w:rFonts w:cs="Arial" w:ascii="Century Gothic" w:hAnsi="Century Gothic"/>
                <w:szCs w:val="2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rFonts w:ascii="Century Gothic" w:hAnsi="Century Gothic" w:cs="Arial"/>
                <w:szCs w:val="20"/>
              </w:rPr>
            </w:pPr>
            <w:r>
              <w:rPr>
                <w:rFonts w:cs="Arial" w:ascii="Century Gothic" w:hAnsi="Century Gothic"/>
                <w:szCs w:val="2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</w:tr>
      <w:tr>
        <w:trPr>
          <w:trHeight w:val="313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rFonts w:ascii="Century Gothic" w:hAnsi="Century Gothic" w:cs="Arial"/>
                <w:szCs w:val="20"/>
              </w:rPr>
            </w:pPr>
            <w:r>
              <w:rPr>
                <w:rFonts w:cs="Arial" w:ascii="Century Gothic" w:hAnsi="Century Gothic"/>
                <w:szCs w:val="2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</w:tr>
      <w:tr>
        <w:trPr>
          <w:trHeight w:val="205" w:hRule="atLeast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rFonts w:ascii="Century Gothic" w:hAnsi="Century Gothic" w:cs="Arial"/>
                <w:szCs w:val="20"/>
              </w:rPr>
            </w:pPr>
            <w:r>
              <w:rPr>
                <w:rFonts w:cs="Arial" w:ascii="Century Gothic" w:hAnsi="Century Gothic"/>
                <w:szCs w:val="20"/>
              </w:rPr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</w:p>
        </w:tc>
      </w:tr>
    </w:tbl>
    <w:p>
      <w:pPr>
        <w:pStyle w:val="Normal"/>
        <w:rPr>
          <w:b/>
          <w:b/>
          <w:i/>
          <w:i/>
          <w:color w:val="90571E"/>
          <w:sz w:val="20"/>
        </w:rPr>
      </w:pPr>
      <w:r>
        <w:rPr>
          <w:b/>
          <w:i/>
          <w:color w:val="90571E"/>
          <w:sz w:val="20"/>
        </w:rPr>
      </w:r>
    </w:p>
    <w:p>
      <w:pPr>
        <w:pStyle w:val="Normal"/>
        <w:rPr/>
      </w:pPr>
      <w:r>
        <w:rPr>
          <w:rStyle w:val="Policepardfaut"/>
          <w:rFonts w:eastAsia="Microsoft YaHei" w:ascii="Liberation Sans" w:hAnsi="Liberation Sans"/>
          <w:b/>
          <w:bCs/>
          <w:i/>
          <w:color w:val="90571E"/>
          <w:sz w:val="20"/>
        </w:rPr>
        <w:t>Le calendrier de pâturage est susceptible de varier en fonction de la météorologie de l’année et de la prédation. Les dates ne sont donc qu’indicatives.</w:t>
      </w:r>
    </w:p>
    <w:p>
      <w:pPr>
        <w:pStyle w:val="Normal"/>
        <w:rPr>
          <w:rStyle w:val="Policepardfaut"/>
          <w:rFonts w:ascii="Liberation Sans" w:hAnsi="Liberation Sans" w:eastAsia="Microsoft YaHei"/>
          <w:b/>
          <w:b/>
          <w:bCs/>
          <w:i/>
          <w:i/>
          <w:color w:val="90571E"/>
          <w:sz w:val="20"/>
        </w:rPr>
      </w:pPr>
      <w:r>
        <w:rPr/>
      </w:r>
    </w:p>
    <w:p>
      <w:pPr>
        <w:pStyle w:val="Normal"/>
        <w:rPr>
          <w:rStyle w:val="Policepardfaut"/>
          <w:rFonts w:ascii="Liberation Sans" w:hAnsi="Liberation Sans" w:eastAsia="Microsoft YaHei"/>
          <w:b/>
          <w:b/>
          <w:bCs/>
          <w:i/>
          <w:i/>
          <w:color w:val="90571E"/>
          <w:sz w:val="20"/>
        </w:rPr>
      </w:pPr>
      <w:r>
        <w:rPr/>
      </w:r>
    </w:p>
    <w:p>
      <w:pPr>
        <w:pStyle w:val="Corpsdetexte"/>
        <w:rPr/>
      </w:pPr>
      <w:r>
        <w:rPr/>
        <w:tab/>
        <w:t>VII.</w:t>
      </w:r>
      <w:r>
        <w:rPr/>
        <w:t xml:space="preserve">1.2. </w:t>
      </w:r>
      <w:r>
        <w:rPr>
          <w:u w:val="single"/>
        </w:rPr>
        <w:t>Equipements pastoraux existant. Abreuvement ?</w:t>
      </w:r>
    </w:p>
    <w:p>
      <w:pPr>
        <w:pStyle w:val="Normal"/>
        <w:rPr/>
      </w:pPr>
      <w:r>
        <w:rPr/>
        <w:t>Atouts et contraintes en lien avec le multiusage (chasse, prédation…)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</w:r>
    </w:p>
    <w:p>
      <w:pPr>
        <w:pStyle w:val="Corpsdetexte"/>
        <w:rPr/>
      </w:pPr>
      <w:r>
        <w:rPr>
          <w:rStyle w:val="Policepardfaut"/>
          <w:b/>
          <w:bCs/>
        </w:rPr>
        <w:t>VII.</w:t>
      </w:r>
      <w:r>
        <w:rPr>
          <w:rStyle w:val="Policepardfaut"/>
          <w:b/>
          <w:bCs/>
        </w:rPr>
        <w:t>2 – compléments DAE volet écologique :</w:t>
      </w:r>
    </w:p>
    <w:p>
      <w:pPr>
        <w:pStyle w:val="Titre2"/>
        <w:tabs>
          <w:tab w:val="clear" w:pos="709"/>
          <w:tab w:val="left" w:pos="0" w:leader="none"/>
        </w:tabs>
        <w:ind w:left="0" w:hanging="0"/>
        <w:rPr/>
      </w:pPr>
      <w:r>
        <w:rPr/>
      </w:r>
    </w:p>
    <w:p>
      <w:pPr>
        <w:pStyle w:val="Corpsdetexte"/>
        <w:rPr/>
      </w:pPr>
      <w:r>
        <w:rPr/>
        <w:tab/>
      </w:r>
      <w:r>
        <w:rPr/>
        <w:t>VII.</w:t>
      </w:r>
      <w:r>
        <w:rPr/>
        <w:t xml:space="preserve">2.1 - </w:t>
      </w:r>
      <w:bookmarkStart w:id="13" w:name="_Toc332710629"/>
      <w:bookmarkStart w:id="14" w:name="_Toc102493890"/>
      <w:r>
        <w:rPr>
          <w:u w:val="single"/>
        </w:rPr>
        <w:t>Habitats naturels et semi-naturels concernés par les pratiques pastorales</w:t>
      </w:r>
      <w:bookmarkEnd w:id="13"/>
      <w:bookmarkEnd w:id="14"/>
    </w:p>
    <w:p>
      <w:pPr>
        <w:pStyle w:val="Corpsdetexte"/>
        <w:rPr/>
      </w:pPr>
      <w:r>
        <w:rPr>
          <w:rFonts w:eastAsia="Century Gothic" w:ascii="Century Gothic" w:hAnsi="Century Gothic"/>
          <w:bCs/>
          <w:szCs w:val="26"/>
          <w:u w:val="none"/>
        </w:rPr>
        <w:tab/>
        <w:tab/>
        <w:t>a</w:t>
      </w:r>
      <w:r>
        <w:rPr>
          <w:u w:val="none"/>
        </w:rPr>
        <w:t xml:space="preserve"> -</w:t>
      </w:r>
      <w:r>
        <w:rPr/>
        <w:t xml:space="preserve"> </w:t>
      </w:r>
      <w:bookmarkStart w:id="15" w:name="_Toc332710630"/>
      <w:bookmarkStart w:id="16" w:name="_Toc102493891"/>
      <w:r>
        <w:rPr>
          <w:i/>
          <w:iCs/>
        </w:rPr>
        <w:t>État de référence :</w:t>
      </w:r>
      <w:bookmarkEnd w:id="15"/>
      <w:bookmarkEnd w:id="16"/>
      <w:r>
        <w:rPr>
          <w:i/>
          <w:iCs/>
        </w:rPr>
        <w:t xml:space="preserve"> </w:t>
      </w:r>
      <w:r>
        <w:rPr/>
        <w:t>à voir le niveau de détail qui peut être fourni sur la localisation de la flore, espèces rares …</w:t>
      </w:r>
    </w:p>
    <w:p>
      <w:pPr>
        <w:pStyle w:val="Corpsdetexte"/>
        <w:rPr/>
      </w:pPr>
      <w:r>
        <w:rPr/>
        <w:tab/>
        <w:tab/>
        <w:t xml:space="preserve">b - </w:t>
      </w:r>
      <w:bookmarkStart w:id="17" w:name="_Toc102493892"/>
      <w:bookmarkStart w:id="18" w:name="_Toc332710631"/>
      <w:r>
        <w:rPr>
          <w:i/>
          <w:iCs/>
        </w:rPr>
        <w:t>Données sources :</w:t>
      </w:r>
      <w:bookmarkEnd w:id="17"/>
      <w:bookmarkEnd w:id="1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>VII.</w:t>
      </w:r>
      <w:r>
        <w:rPr/>
        <w:t xml:space="preserve">2.2 - </w:t>
      </w:r>
      <w:bookmarkStart w:id="19" w:name="_Toc102493893"/>
      <w:bookmarkStart w:id="20" w:name="_Toc332710632"/>
      <w:r>
        <w:rPr>
          <w:u w:val="single"/>
        </w:rPr>
        <w:t>Espèces végétales et animales, communautaires ou patrimoniales, concernées par les pratiques pastorales</w:t>
      </w:r>
      <w:bookmarkEnd w:id="19"/>
      <w:bookmarkEnd w:id="20"/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ab/>
        <w:t>a -</w:t>
      </w:r>
      <w:bookmarkStart w:id="21" w:name="_Toc102493894"/>
      <w:bookmarkStart w:id="22" w:name="_Toc332710633"/>
      <w:r>
        <w:rPr>
          <w:i/>
          <w:iCs/>
        </w:rPr>
        <w:t>État de référence</w:t>
      </w:r>
      <w:r>
        <w:rPr>
          <w:rStyle w:val="Policepardfaut"/>
          <w:i/>
          <w:iCs/>
          <w:u w:val="none"/>
        </w:rPr>
        <w:t> </w:t>
      </w:r>
      <w:r>
        <w:rPr>
          <w:rStyle w:val="Policepardfaut"/>
          <w:u w:val="none"/>
        </w:rPr>
        <w:t>:</w:t>
      </w:r>
      <w:bookmarkEnd w:id="21"/>
      <w:bookmarkEnd w:id="2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ab/>
      </w:r>
      <w:r>
        <w:rPr>
          <w:i/>
          <w:iCs/>
        </w:rPr>
        <w:t xml:space="preserve">b - </w:t>
      </w:r>
      <w:bookmarkStart w:id="23" w:name="_Toc102493895"/>
      <w:bookmarkStart w:id="24" w:name="_Toc332710634"/>
      <w:r>
        <w:rPr>
          <w:i/>
          <w:iCs/>
        </w:rPr>
        <w:t>Données sources :</w:t>
      </w:r>
      <w:bookmarkEnd w:id="23"/>
      <w:bookmarkEnd w:id="2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>VII.</w:t>
      </w:r>
      <w:r>
        <w:rPr/>
        <w:t xml:space="preserve">2.3 - </w:t>
      </w:r>
      <w:bookmarkStart w:id="25" w:name="_Toc102493896"/>
      <w:r>
        <w:rPr>
          <w:u w:val="single"/>
        </w:rPr>
        <w:t>Synthèse</w:t>
      </w:r>
      <w:bookmarkEnd w:id="25"/>
      <w:r>
        <w:rPr>
          <w:u w:val="single"/>
        </w:rPr>
        <w:t xml:space="preserve"> sur les enjeux pour le volet écologique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>3 - Le plan de gestion éco-pastoral : croisement entre enjeux pastoraux et écologiques</w:t>
      </w:r>
    </w:p>
    <w:p>
      <w:pPr>
        <w:pStyle w:val="Titre2"/>
        <w:tabs>
          <w:tab w:val="clear" w:pos="709"/>
          <w:tab w:val="left" w:pos="0" w:leader="none"/>
        </w:tabs>
        <w:ind w:left="0" w:hanging="0"/>
        <w:rPr/>
      </w:pPr>
      <w:r>
        <w:rPr/>
      </w:r>
    </w:p>
    <w:p>
      <w:pPr>
        <w:pStyle w:val="Corpsdetexte"/>
        <w:rPr/>
      </w:pPr>
      <w:r>
        <w:rPr/>
        <w:tab/>
        <w:t>VII.</w:t>
      </w:r>
      <w:bookmarkStart w:id="26" w:name="_Toc102493898"/>
      <w:bookmarkStart w:id="27" w:name="_Toc332710636"/>
      <w:r>
        <w:rPr/>
        <w:t xml:space="preserve">3.1. </w:t>
      </w:r>
      <w:r>
        <w:rPr>
          <w:u w:val="single"/>
        </w:rPr>
        <w:t>Analyse croisée</w:t>
      </w:r>
      <w:bookmarkEnd w:id="27"/>
      <w:r>
        <w:rPr>
          <w:u w:val="single"/>
        </w:rPr>
        <w:t xml:space="preserve"> et bilan des précédentes mesures</w:t>
      </w:r>
      <w:bookmarkEnd w:id="2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sdetexte"/>
        <w:rPr/>
      </w:pPr>
      <w:r>
        <w:rPr/>
        <w:tab/>
        <w:t>VII.</w:t>
      </w:r>
      <w:r>
        <w:rPr/>
        <w:t xml:space="preserve">3.2. </w:t>
      </w:r>
      <w:r>
        <w:rPr>
          <w:u w:val="single"/>
        </w:rPr>
        <w:t>Plan de gestion</w:t>
      </w:r>
      <w:r>
        <w:rPr/>
        <w:t xml:space="preserve"> : </w:t>
      </w:r>
      <w:r>
        <w:rPr/>
        <w:t>voir ci-dessous</w:t>
      </w:r>
    </w:p>
    <w:p>
      <w:pPr>
        <w:pStyle w:val="Normal"/>
        <w:rPr/>
      </w:pPr>
      <w:r>
        <w:rPr/>
      </w:r>
    </w:p>
    <w:p>
      <w:pPr>
        <w:pStyle w:val="Corpsdetexte"/>
        <w:rPr>
          <w:b/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>3.3 Points de contrôle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diagnostic et plan de gestion éco-pastoral</w:t>
      </w:r>
    </w:p>
    <w:p>
      <w:p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bCs/>
          <w:szCs w:val="20"/>
        </w:rPr>
        <w:t>Présence du cahier d’enregistrement à jour</w:t>
      </w:r>
    </w:p>
    <w:p>
      <w:pPr>
        <w:sectPr>
          <w:type w:val="nextPage"/>
          <w:pgSz w:w="11906" w:h="16838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>
          <w:rStyle w:val="Policepardfaut"/>
          <w:rFonts w:eastAsia="Wingdings" w:cs="Wingdings" w:ascii="Wingdings" w:hAnsi="Wingdings"/>
          <w:b/>
          <w:bCs/>
          <w:sz w:val="28"/>
          <w:szCs w:val="20"/>
        </w:rPr>
        <w:t></w:t>
      </w:r>
      <w:r>
        <w:rPr>
          <w:rStyle w:val="Policepardfaut"/>
          <w:rFonts w:eastAsia="Wingdings" w:cs="Wingdings"/>
          <w:b w:val="false"/>
          <w:bCs w:val="false"/>
          <w:sz w:val="24"/>
          <w:szCs w:val="24"/>
        </w:rPr>
        <w:t>Eléments techniques du plan de gestion dans le tableau ci-dessus</w:t>
      </w:r>
    </w:p>
    <w:p>
      <w:pPr>
        <w:pStyle w:val="Normal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rPr/>
      </w:pPr>
      <w:r>
        <w:rPr>
          <w:rStyle w:val="Policepardfaut"/>
          <w:b/>
          <w:bCs/>
          <w:szCs w:val="20"/>
        </w:rPr>
        <w:t xml:space="preserve">Mesures spécifiques de gestion : </w:t>
      </w:r>
      <w:r>
        <w:rPr>
          <w:rStyle w:val="Policepardfaut"/>
          <w:b/>
        </w:rPr>
        <w:t>PA-XX0X-</w:t>
      </w:r>
      <w:r>
        <w:rPr>
          <w:rStyle w:val="Policepardfaut"/>
          <w:b/>
          <w:color w:val="FF0000"/>
        </w:rPr>
        <w:tab/>
        <w:tab/>
      </w:r>
      <w:r>
        <w:rPr>
          <w:rStyle w:val="Policepardfaut"/>
          <w:b/>
          <w:i/>
          <w:iCs/>
          <w:color w:val="FF0000"/>
        </w:rPr>
        <w:t>(Tableau à supprimer ??)</w:t>
      </w:r>
    </w:p>
    <w:p>
      <w:pPr>
        <w:pStyle w:val="Normal"/>
        <w:rPr/>
      </w:pPr>
      <w:r>
        <w:rPr/>
      </w:r>
    </w:p>
    <w:tbl>
      <w:tblPr>
        <w:tblW w:w="138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143"/>
        <w:gridCol w:w="1602"/>
        <w:gridCol w:w="2303"/>
        <w:gridCol w:w="2194"/>
        <w:gridCol w:w="2013"/>
        <w:gridCol w:w="2282"/>
        <w:gridCol w:w="2281"/>
      </w:tblGrid>
      <w:tr>
        <w:trPr>
          <w:trHeight w:val="527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entury Gothic" w:hAnsi="Century Gothic"/>
                <w:b/>
                <w:bCs/>
                <w:sz w:val="20"/>
                <w:szCs w:val="20"/>
              </w:rPr>
              <w:t>Localisation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entury Gothic" w:hAnsi="Century Gothic"/>
                <w:b/>
                <w:bCs/>
                <w:sz w:val="20"/>
                <w:szCs w:val="20"/>
              </w:rPr>
              <w:t>Enjeux/milieux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entury Gothic" w:hAnsi="Century Gothic"/>
                <w:b/>
                <w:bCs/>
                <w:sz w:val="20"/>
                <w:szCs w:val="20"/>
              </w:rPr>
              <w:t>Objectifs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entury Gothic" w:hAnsi="Century Gothic"/>
                <w:b/>
                <w:bCs/>
                <w:sz w:val="20"/>
                <w:szCs w:val="20"/>
              </w:rPr>
              <w:t>Engagement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entury Gothic" w:hAnsi="Century Gothic"/>
                <w:b/>
                <w:bCs/>
                <w:sz w:val="20"/>
                <w:szCs w:val="20"/>
              </w:rPr>
              <w:t>En cas d’aléas clim.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entury Gothic" w:hAnsi="Century Gothic"/>
                <w:b/>
                <w:bCs/>
                <w:sz w:val="20"/>
                <w:szCs w:val="20"/>
              </w:rPr>
              <w:t>Indicateur de résultat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Points de contrôle</w:t>
            </w:r>
          </w:p>
        </w:tc>
      </w:tr>
      <w:tr>
        <w:trPr>
          <w:trHeight w:val="1070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ilots regroupés par type de milieux avec un même enjeu et mode de gestion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Préservation des espaces favorables à la nidification du tétras lyre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Pas de perturbation des nichés et laisser une végétation herbacée haute.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Pas de pâturage avant le 15 août.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Pas de marge de manœuvre.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Pas de trace de pâturage avant le 15 août.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70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Secteur 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Préservation des espaces favorables à la nidification du tétras lyre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Pas de perturbation des nichés et laisser une végétation herbacée haute.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Pas de pâturage avant le 15 août.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Marge de manœuvre possible à partir du 1</w:t>
            </w:r>
            <w:r>
              <w:rPr>
                <w:rStyle w:val="Policepardfaut"/>
                <w:rFonts w:ascii="Century Gothic" w:hAnsi="Century Gothic"/>
                <w:color w:val="FF0000"/>
                <w:position w:val="20"/>
                <w:sz w:val="13"/>
                <w:sz w:val="20"/>
                <w:szCs w:val="20"/>
              </w:rPr>
              <w:t>er</w:t>
            </w: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 xml:space="preserve"> août.</w:t>
            </w:r>
          </w:p>
          <w:p>
            <w:pPr>
              <w:pStyle w:val="Normal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Style w:val="Policepardfaut"/>
                <w:rFonts w:ascii="Century Gothic" w:hAnsi="Century Gothic"/>
                <w:color w:val="FF0000"/>
                <w:sz w:val="20"/>
                <w:szCs w:val="20"/>
              </w:rPr>
              <w:t>Pas de trace de pâturage avant le 15 août sauf si aléas.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Style w:val="Policepardfaut"/>
          <w:rFonts w:ascii="Calibri" w:hAnsi="Calibri"/>
          <w:i/>
        </w:rPr>
        <w:t>Les dates de pâturage sont données à titre indicatif et peuvent varier d'une année sur l'autre en fonction de la ressource en herbe disponible (conditions climatiques).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Quel mix des 2 ? éléments à ne pas oublier … A compléter avec les préconisations indiquées dans le catalogue national</w:t>
      </w:r>
      <w:r>
        <w:br w:type="page"/>
      </w:r>
    </w:p>
    <w:p>
      <w:pPr>
        <w:pStyle w:val="Normal"/>
        <w:rPr>
          <w:b/>
          <w:b/>
          <w:bCs/>
          <w:i/>
          <w:i/>
          <w:iCs/>
          <w:color w:val="F0A22E"/>
        </w:rPr>
      </w:pPr>
      <w:r>
        <w:rPr>
          <w:b/>
          <w:bCs/>
          <w:i/>
          <w:iCs/>
          <w:color w:val="F0A22E"/>
        </w:rPr>
      </w:r>
    </w:p>
    <w:p>
      <w:pPr>
        <w:pStyle w:val="Normal"/>
        <w:rPr/>
      </w:pPr>
      <w:r>
        <w:rPr/>
        <w:drawing>
          <wp:inline distT="0" distB="0" distL="0" distR="0">
            <wp:extent cx="8715375" cy="57061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645" t="10620" r="15203" b="8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/>
      </w:pPr>
      <w:r>
        <w:rPr/>
        <w:drawing>
          <wp:inline distT="0" distB="0" distL="0" distR="0">
            <wp:extent cx="8924925" cy="5362575"/>
            <wp:effectExtent l="0" t="0" r="0" b="0"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8217" t="11355" r="8303" b="10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Cs w:val="20"/>
        </w:rPr>
      </w:pPr>
      <w:r>
        <w:rPr>
          <w:szCs w:val="20"/>
        </w:rPr>
      </w:r>
      <w:r>
        <w:br w:type="page"/>
      </w:r>
    </w:p>
    <w:p>
      <w:pPr>
        <w:pStyle w:val="Normal"/>
        <w:rPr>
          <w:rStyle w:val="Policepardfaut"/>
          <w:szCs w:val="20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align>right</wp:align>
            </wp:positionH>
            <wp:positionV relativeFrom="paragraph">
              <wp:posOffset>-30480</wp:posOffset>
            </wp:positionV>
            <wp:extent cx="10420350" cy="4953000"/>
            <wp:effectExtent l="0" t="0" r="0" b="0"/>
            <wp:wrapNone/>
            <wp:docPr id="3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668" t="13857" r="2214" b="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orient="landscape" w:w="16838" w:h="11906"/>
      <w:pgMar w:left="1134" w:right="1134" w:header="709" w:top="1134" w:footer="709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Pieddepage"/>
      <w:rPr/>
    </w:pPr>
    <w:r>
      <w:rPr/>
      <w:t>Nom exploitation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/>
    </w:pPr>
    <w:r>
      <w:rPr>
        <w:rStyle w:val="Policepardfaut"/>
        <w:color w:val="BFBFBF"/>
        <w:sz w:val="18"/>
        <w:szCs w:val="18"/>
      </w:rPr>
      <w:t xml:space="preserve"> </w:t>
    </w:r>
    <w:r>
      <w:rPr>
        <w:rStyle w:val="Policepardfaut"/>
        <w:color w:val="FF0000"/>
        <w:sz w:val="18"/>
        <w:szCs w:val="18"/>
      </w:rPr>
      <w:t>Structure</w:t>
    </w:r>
    <w:r>
      <w:rPr>
        <w:rStyle w:val="Policepardfaut"/>
        <w:color w:val="BFBFBF"/>
        <w:sz w:val="18"/>
        <w:szCs w:val="18"/>
      </w:rPr>
      <w:tab/>
      <w:tab/>
      <w:t>MAEC 2023-2027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re3"/>
      <w:numFmt w:val="decimal"/>
      <w:lvlText w:val="%3"/>
      <w:lvlJc w:val="left"/>
      <w:pPr>
        <w:ind w:left="857" w:hanging="432"/>
      </w:pPr>
    </w:lvl>
    <w:lvl w:ilvl="3">
      <w:start w:val="1"/>
      <w:pStyle w:val="Titre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145" w:hanging="72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3140" w:hanging="144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4350" w:hanging="1800"/>
      </w:pPr>
    </w:lvl>
    <w:lvl w:ilvl="7">
      <w:start w:val="1"/>
      <w:numFmt w:val="decimal"/>
      <w:lvlText w:val="%1.%2.%3.%4.%5.%6.%7.%8"/>
      <w:lvlJc w:val="left"/>
      <w:pPr>
        <w:ind w:left="5135" w:hanging="216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1">
    <w:name w:val="Heading 1"/>
    <w:next w:val="Normal"/>
    <w:qFormat/>
    <w:pPr>
      <w:keepNext w:val="true"/>
      <w:keepLines w:val="false"/>
      <w:pageBreakBefore w:val="false"/>
      <w:widowControl/>
      <w:numPr>
        <w:ilvl w:val="0"/>
        <w:numId w:val="1"/>
      </w:numPr>
      <w:pBdr>
        <w:bottom w:val="single" w:sz="4" w:space="1" w:color="000000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outlineLvl w:val="0"/>
    </w:pPr>
    <w:rPr>
      <w:rFonts w:ascii="Century Gothic" w:hAnsi="Century Gothic" w:eastAsia="Century Gothic" w:cs="Century Gothic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32"/>
      <w:sz w:val="32"/>
      <w:szCs w:val="32"/>
      <w:u w:val="none"/>
      <w:vertAlign w:val="baseline"/>
      <w:em w:val="none"/>
      <w:lang w:val="fr-FR" w:eastAsia="zh-CN" w:bidi="hi-IN"/>
    </w:rPr>
  </w:style>
  <w:style w:type="paragraph" w:styleId="Titre2">
    <w:name w:val="Heading 2"/>
    <w:basedOn w:val="Titre1"/>
    <w:next w:val="Normal"/>
    <w:qFormat/>
    <w:pPr>
      <w:numPr>
        <w:ilvl w:val="1"/>
        <w:numId w:val="1"/>
      </w:numPr>
      <w:pBdr/>
      <w:suppressAutoHyphens w:val="true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Century Gothic" w:hAnsi="Century Gothic" w:eastAsia="Century Gothic"/>
      <w:bCs/>
      <w:szCs w:val="26"/>
      <w:u w:val="single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53"/>
      <w:szCs w:val="53"/>
    </w:rPr>
  </w:style>
  <w:style w:type="character" w:styleId="Policepardfaut">
    <w:name w:val="Police par défaut"/>
    <w:qFormat/>
    <w:rPr/>
  </w:style>
  <w:style w:type="character" w:styleId="Caractresdenumrotation">
    <w:name w:val="Caractères de numérotation"/>
    <w:qFormat/>
    <w:rPr/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Courier New" w:hAnsi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/>
    </w:rPr>
  </w:style>
  <w:style w:type="character" w:styleId="WWCharLFO6LVL9">
    <w:name w:val="WW_CharLFO6LVL9"/>
    <w:qFormat/>
    <w:rPr>
      <w:rFonts w:ascii="Wingdings" w:hAnsi="Wingdings"/>
    </w:rPr>
  </w:style>
  <w:style w:type="paragraph" w:styleId="Titre">
    <w:name w:val="Titre"/>
    <w:basedOn w:val="Normal"/>
    <w:next w:val="Corpsdetexte"/>
    <w:qFormat/>
    <w:pPr>
      <w:suppressAutoHyphens w:val="true"/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abledesmatiresniveau1">
    <w:name w:val="TOC 1"/>
    <w:basedOn w:val="Normal"/>
    <w:next w:val="Normal"/>
    <w:pPr>
      <w:tabs>
        <w:tab w:val="clear" w:pos="709"/>
      </w:tabs>
      <w:suppressAutoHyphens w:val="true"/>
      <w:spacing w:before="240" w:after="0"/>
      <w:ind w:left="709" w:right="0" w:hanging="709"/>
    </w:pPr>
    <w:rPr>
      <w:rFonts w:ascii="Century Gothic" w:hAnsi="Century Gothic" w:eastAsia="Century Gothic"/>
      <w:b/>
      <w:bCs/>
      <w:sz w:val="40"/>
      <w:szCs w:val="44"/>
    </w:rPr>
  </w:style>
  <w:style w:type="paragraph" w:styleId="Contenudecadre">
    <w:name w:val="Contenu de cadre"/>
    <w:basedOn w:val="Normal"/>
    <w:qFormat/>
    <w:pPr>
      <w:suppressAutoHyphens w:val="true"/>
    </w:pPr>
    <w:rPr/>
  </w:style>
  <w:style w:type="paragraph" w:styleId="Soustitre">
    <w:name w:val="Subtitle"/>
    <w:basedOn w:val="Normal"/>
    <w:next w:val="Normal"/>
    <w:qFormat/>
    <w:pPr>
      <w:suppressAutoHyphens w:val="true"/>
    </w:pPr>
    <w:rPr>
      <w:rFonts w:ascii="Century Gothic" w:hAnsi="Century Gothic" w:eastAsia="Times New Roman" w:cs="Times New Roman"/>
      <w:i/>
      <w:iCs/>
      <w:color w:val="F0A22E"/>
      <w:spacing w:val="15"/>
    </w:rPr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Titredetableau">
    <w:name w:val="Titre de tableau"/>
    <w:basedOn w:val="Contenudetableau"/>
    <w:qFormat/>
    <w:pPr>
      <w:suppressAutoHyphens w:val="true"/>
      <w:jc w:val="center"/>
    </w:pPr>
    <w:rPr>
      <w:b/>
      <w:bCs/>
    </w:rPr>
  </w:style>
  <w:style w:type="numbering" w:styleId="Numrotation123">
    <w:name w:val="Numérotation 12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LibreOffice/6.1.5.2.M7$Windows_X86_64 LibreOffice_project/6bc4c758b9c1f1627083d3a080085e7a14b64ae3</Application>
  <Pages>16</Pages>
  <Words>1449</Words>
  <CharactersWithSpaces>9324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2023-05-10T14:45:22Z</dcterms:created>
  <dc:creator/>
  <dc:description/>
  <dc:language>fr-FR</dc:language>
  <cp:lastModifiedBy/>
  <cp:revision>1</cp:revision>
  <dc:subject/>
  <dc:title/>
</cp:coreProperties>
</file>